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240" w:lineRule="auto"/>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i w:val="0"/>
          <w:strike w:val="0"/>
          <w:spacing w:val="0"/>
          <w:sz w:val="44"/>
          <w:szCs w:val="44"/>
          <w:u w:val="none"/>
        </w:rPr>
        <w:t>糖化血红蛋白HbA1c专用分析仪参数</w:t>
      </w:r>
    </w:p>
    <w:p>
      <w:pPr>
        <w:snapToGrid/>
        <w:spacing w:line="240" w:lineRule="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i w:val="0"/>
          <w:strike w:val="0"/>
          <w:spacing w:val="0"/>
          <w:sz w:val="32"/>
          <w:szCs w:val="32"/>
          <w:u w:val="none"/>
        </w:rPr>
        <w:t>一、核心性能参数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1.方法学：乳胶增强免疫散射速率法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rPr>
        <w:t>原理：仪器并非测量反应的最终浊度，而是在抗原抗体反应的最初几十秒内，连续监测乳胶免疫复合物形成的速率，并计算出浊度变化的最大速率（峰值）。该峰</w:t>
      </w:r>
      <w:bookmarkStart w:id="2" w:name="_GoBack"/>
      <w:bookmarkEnd w:id="2"/>
      <w:r>
        <w:rPr>
          <w:rFonts w:hint="eastAsia" w:ascii="方正仿宋_GB2312" w:hAnsi="方正仿宋_GB2312" w:eastAsia="方正仿宋_GB2312" w:cs="方正仿宋_GB2312"/>
          <w:i w:val="0"/>
          <w:strike w:val="0"/>
          <w:spacing w:val="0"/>
          <w:sz w:val="32"/>
          <w:szCs w:val="32"/>
          <w:u w:val="none"/>
        </w:rPr>
        <w:t>值与HbA1c浓度成正比。同时检测总血红蛋白（Hb），计算百分比。</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2.精密度（速率法的核心优势）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批内精密度（CV%）：极高。优秀仪器通常能达到&lt;1.0%，部分顶级型号可达&lt;0.5%。这是因为短时间测量避免了反应后期的不稳定因素。</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批间精密度（CV%）：同样极佳，通常&lt;1.5%。</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3.准确度与标准化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双重溯源：必须具备IFCC参考方法溯源性，并持有NGSP认证，确保结果与全球标准一致。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与HPLC的相关性：与“金标准”HPLC法的对比相关系数（r值）应无限接近于1.0。</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4.检测速度/通量（速率法的速度优势）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首个结果时间：非常快，尽量在1-5分钟以内。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bookmarkStart w:id="0" w:name="OLE_LINK1"/>
      <w:r>
        <w:rPr>
          <w:rFonts w:hint="eastAsia" w:ascii="方正仿宋_GB2312" w:hAnsi="方正仿宋_GB2312" w:eastAsia="方正仿宋_GB2312" w:cs="方正仿宋_GB2312"/>
          <w:i w:val="0"/>
          <w:strike w:val="0"/>
          <w:spacing w:val="0"/>
          <w:sz w:val="32"/>
          <w:szCs w:val="32"/>
          <w:u w:val="none"/>
          <w:lang w:eastAsia="zh-CN"/>
        </w:rPr>
        <w:t>）</w:t>
      </w:r>
      <w:bookmarkStart w:id="1" w:name="OLE_LINK2"/>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throughput（通量）</w:t>
      </w:r>
      <w:r>
        <w:rPr>
          <w:rFonts w:hint="eastAsia" w:ascii="方正仿宋_GB2312" w:hAnsi="方正仿宋_GB2312" w:eastAsia="方正仿宋_GB2312" w:cs="方正仿宋_GB2312"/>
          <w:i w:val="0"/>
          <w:strike w:val="0"/>
          <w:spacing w:val="0"/>
          <w:sz w:val="32"/>
          <w:szCs w:val="32"/>
          <w:u w:val="none"/>
          <w:lang w:eastAsia="zh-CN"/>
        </w:rPr>
        <w:t>”</w:t>
      </w:r>
      <w:bookmarkEnd w:id="0"/>
      <w:bookmarkEnd w:id="1"/>
      <w:r>
        <w:rPr>
          <w:rFonts w:hint="eastAsia" w:ascii="方正仿宋_GB2312" w:hAnsi="方正仿宋_GB2312" w:eastAsia="方正仿宋_GB2312" w:cs="方正仿宋_GB2312"/>
          <w:i w:val="0"/>
          <w:strike w:val="0"/>
          <w:spacing w:val="0"/>
          <w:sz w:val="32"/>
          <w:szCs w:val="32"/>
          <w:u w:val="none"/>
        </w:rPr>
        <w:t>：高。由于每个测试耗时极短，仪器尽量具备高速处理能力，每小时测试数可达30-60甚至更高。</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5.检测范围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HbA1c测量范围：通常为3%-15%，覆盖所有临床需求。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线性范围：宽广，尽量不需要频繁稀释。</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6.样本要求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样本类型：支持EDTA抗凝静脉全血和毛细血管全血（指尖血）。通常也支持溶血产物。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样本用量：用量少。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7.干扰与特异性（速率法的智能优势）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钩状效应（HookEffect）识别：速率法的一个巨大优点是能通过分析反应曲线的峰形自动识别高浓度样本导致的钩状效应，并提示需要稀释，有效防止假阴性结果。</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血红蛋白变异体：抗干扰能力优于普通终点法，有单独的干扰声明。</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3</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内源性干扰：对脂血、黄疸、类风湿因子等有较强的抗干扰能力。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i w:val="0"/>
          <w:strike w:val="0"/>
          <w:spacing w:val="0"/>
          <w:sz w:val="32"/>
          <w:szCs w:val="32"/>
          <w:u w:val="none"/>
        </w:rPr>
        <w:t>二、操作与自动化参数（高度自动化）</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b/>
          <w:bCs/>
          <w:i w:val="0"/>
          <w:strike w:val="0"/>
          <w:spacing w:val="0"/>
          <w:sz w:val="32"/>
          <w:szCs w:val="32"/>
          <w:u w:val="none"/>
        </w:rPr>
      </w:pPr>
      <w:r>
        <w:rPr>
          <w:rFonts w:hint="eastAsia" w:ascii="方正仿宋_GB2312" w:hAnsi="方正仿宋_GB2312" w:eastAsia="方正仿宋_GB2312" w:cs="方正仿宋_GB2312"/>
          <w:b/>
          <w:bCs/>
          <w:i w:val="0"/>
          <w:strike w:val="0"/>
          <w:spacing w:val="0"/>
          <w:sz w:val="32"/>
          <w:szCs w:val="32"/>
          <w:u w:val="none"/>
        </w:rPr>
        <w:t>1.自动化程度：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全自动随机存取：是标准配置。可随时添加急诊样本，无需中断当前批次。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自动稀释与重测：当检测结果超出线性范围或出现可疑反应曲线时，仪器可自动进行稀释和重测。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2.校准</w:t>
      </w:r>
      <w:r>
        <w:rPr>
          <w:rFonts w:hint="eastAsia" w:ascii="方正仿宋_GB2312" w:hAnsi="方正仿宋_GB2312" w:eastAsia="方正仿宋_GB2312" w:cs="方正仿宋_GB2312"/>
          <w:b/>
          <w:bCs/>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校准周期长：通常可稳定14天以上，甚至可达30-90天，减少操作负担。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3.质控功能：</w:t>
      </w:r>
      <w:r>
        <w:rPr>
          <w:rFonts w:hint="eastAsia" w:ascii="方正仿宋_GB2312" w:hAnsi="方正仿宋_GB2312" w:eastAsia="方正仿宋_GB2312" w:cs="方正仿宋_GB2312"/>
          <w:i w:val="0"/>
          <w:strike w:val="0"/>
          <w:spacing w:val="0"/>
          <w:sz w:val="32"/>
          <w:szCs w:val="32"/>
          <w:u w:val="none"/>
        </w:rPr>
        <w:t>内置高级质控软件，支持多规则质控，自动绘制质控图并报警。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4.维护：</w:t>
      </w:r>
      <w:r>
        <w:rPr>
          <w:rFonts w:hint="eastAsia" w:ascii="方正仿宋_GB2312" w:hAnsi="方正仿宋_GB2312" w:eastAsia="方正仿宋_GB2312" w:cs="方正仿宋_GB2312"/>
          <w:i w:val="0"/>
          <w:strike w:val="0"/>
          <w:spacing w:val="0"/>
          <w:sz w:val="32"/>
          <w:szCs w:val="32"/>
          <w:u w:val="none"/>
        </w:rPr>
        <w:t>日常维护简单，多为一键式自动冲洗或每日清洁。系统通常有自动维护提醒功能。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i w:val="0"/>
          <w:strike w:val="0"/>
          <w:spacing w:val="0"/>
          <w:sz w:val="32"/>
          <w:szCs w:val="32"/>
          <w:u w:val="none"/>
        </w:rPr>
      </w:pPr>
      <w:r>
        <w:rPr>
          <w:rFonts w:hint="eastAsia" w:ascii="黑体" w:hAnsi="黑体" w:eastAsia="黑体" w:cs="黑体"/>
          <w:i w:val="0"/>
          <w:strike w:val="0"/>
          <w:spacing w:val="0"/>
          <w:sz w:val="32"/>
          <w:szCs w:val="32"/>
          <w:u w:val="none"/>
        </w:rPr>
        <w:t>三、系统配置与数据管理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1.仪器尺寸：</w:t>
      </w:r>
      <w:r>
        <w:rPr>
          <w:rFonts w:hint="eastAsia" w:ascii="方正仿宋_GB2312" w:hAnsi="方正仿宋_GB2312" w:eastAsia="方正仿宋_GB2312" w:cs="方正仿宋_GB2312"/>
          <w:i w:val="0"/>
          <w:strike w:val="0"/>
          <w:spacing w:val="0"/>
          <w:sz w:val="32"/>
          <w:szCs w:val="32"/>
          <w:u w:val="none"/>
        </w:rPr>
        <w:t>紧凑的台式设计。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2.数据管理：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1</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大容量存储：可存储数万条患者结果和质控数据。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lang w:val="en-US" w:eastAsia="zh-CN"/>
        </w:rPr>
        <w:t>2</w:t>
      </w:r>
      <w:r>
        <w:rPr>
          <w:rFonts w:hint="eastAsia" w:ascii="方正仿宋_GB2312" w:hAnsi="方正仿宋_GB2312" w:eastAsia="方正仿宋_GB2312" w:cs="方正仿宋_GB2312"/>
          <w:i w:val="0"/>
          <w:strike w:val="0"/>
          <w:spacing w:val="0"/>
          <w:sz w:val="32"/>
          <w:szCs w:val="32"/>
          <w:u w:val="none"/>
          <w:lang w:eastAsia="zh-CN"/>
        </w:rPr>
        <w:t>）</w:t>
      </w:r>
      <w:r>
        <w:rPr>
          <w:rFonts w:hint="eastAsia" w:ascii="方正仿宋_GB2312" w:hAnsi="方正仿宋_GB2312" w:eastAsia="方正仿宋_GB2312" w:cs="方正仿宋_GB2312"/>
          <w:i w:val="0"/>
          <w:strike w:val="0"/>
          <w:spacing w:val="0"/>
          <w:sz w:val="32"/>
          <w:szCs w:val="32"/>
          <w:u w:val="none"/>
        </w:rPr>
        <w:t>完整接口：标配RS-232、USB、以太网口，轻松连接LIS/HIS系统，实现双向通信。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3.用户界面：</w:t>
      </w:r>
      <w:r>
        <w:rPr>
          <w:rFonts w:hint="eastAsia" w:ascii="方正仿宋_GB2312" w:hAnsi="方正仿宋_GB2312" w:eastAsia="方正仿宋_GB2312" w:cs="方正仿宋_GB2312"/>
          <w:i w:val="0"/>
          <w:strike w:val="0"/>
          <w:spacing w:val="0"/>
          <w:sz w:val="32"/>
          <w:szCs w:val="32"/>
          <w:u w:val="none"/>
        </w:rPr>
        <w:t>通常配备彩色触摸屏，操作直观。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i w:val="0"/>
          <w:strike w:val="0"/>
          <w:spacing w:val="0"/>
          <w:sz w:val="32"/>
          <w:szCs w:val="32"/>
          <w:u w:val="none"/>
        </w:rPr>
      </w:pPr>
      <w:r>
        <w:rPr>
          <w:rFonts w:hint="eastAsia" w:ascii="黑体" w:hAnsi="黑体" w:eastAsia="黑体" w:cs="黑体"/>
          <w:i w:val="0"/>
          <w:strike w:val="0"/>
          <w:spacing w:val="0"/>
          <w:sz w:val="32"/>
          <w:szCs w:val="32"/>
          <w:u w:val="none"/>
        </w:rPr>
        <w:t>四、试剂与耗材</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1.试剂包装：</w:t>
      </w:r>
      <w:r>
        <w:rPr>
          <w:rFonts w:hint="eastAsia" w:ascii="方正仿宋_GB2312" w:hAnsi="方正仿宋_GB2312" w:eastAsia="方正仿宋_GB2312" w:cs="方正仿宋_GB2312"/>
          <w:i w:val="0"/>
          <w:strike w:val="0"/>
          <w:spacing w:val="0"/>
          <w:sz w:val="32"/>
          <w:szCs w:val="32"/>
          <w:u w:val="none"/>
        </w:rPr>
        <w:t>液态稳定试剂，即开即用。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trike w:val="0"/>
          <w:spacing w:val="0"/>
          <w:sz w:val="32"/>
          <w:szCs w:val="32"/>
          <w:u w:val="none"/>
        </w:rPr>
        <w:t>2.试剂稳定性：</w:t>
      </w:r>
      <w:r>
        <w:rPr>
          <w:rFonts w:hint="eastAsia" w:ascii="方正仿宋_GB2312" w:hAnsi="方正仿宋_GB2312" w:eastAsia="方正仿宋_GB2312" w:cs="方正仿宋_GB2312"/>
          <w:i w:val="0"/>
          <w:strike w:val="0"/>
          <w:spacing w:val="0"/>
          <w:sz w:val="32"/>
          <w:szCs w:val="32"/>
          <w:u w:val="none"/>
        </w:rPr>
        <w:t>开瓶稳定性长（通常≥30天），减少试剂浪费。</w:t>
      </w:r>
    </w:p>
    <w:p>
      <w:pPr>
        <w:snapToGrid/>
        <w:spacing w:line="240" w:lineRule="auto"/>
        <w:jc w:val="both"/>
        <w:rPr>
          <w:rFonts w:hint="eastAsia" w:ascii="方正仿宋_GB2312" w:hAnsi="方正仿宋_GB2312" w:eastAsia="方正仿宋_GB2312" w:cs="方正仿宋_GB2312"/>
          <w:sz w:val="32"/>
          <w:szCs w:val="32"/>
        </w:rPr>
      </w:pPr>
    </w:p>
    <w:p>
      <w:pPr>
        <w:jc w:val="both"/>
        <w:rPr>
          <w:rFonts w:hint="eastAsia" w:ascii="方正仿宋_GB2312" w:hAnsi="方正仿宋_GB2312" w:eastAsia="方正仿宋_GB2312" w:cs="方正仿宋_GB2312"/>
          <w:sz w:val="32"/>
          <w:szCs w:val="32"/>
        </w:rPr>
      </w:pPr>
    </w:p>
    <w:sectPr>
      <w:pgSz w:w="11906" w:h="16838"/>
      <w:pgMar w:top="1701" w:right="1474" w:bottom="113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17B6EA-2DDA-41E7-AAAE-5FBF7DE34B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CC359F3-40B9-46C7-AD58-E07905F8D4DD}"/>
  </w:font>
  <w:font w:name="方正仿宋_GB2312">
    <w:panose1 w:val="02000000000000000000"/>
    <w:charset w:val="86"/>
    <w:family w:val="auto"/>
    <w:pitch w:val="default"/>
    <w:sig w:usb0="A00002BF" w:usb1="184F6CFA" w:usb2="00000012" w:usb3="00000000" w:csb0="00040001" w:csb1="00000000"/>
    <w:embedRegular r:id="rId3" w:fontKey="{B57B207F-692F-4462-9C4A-42B9CA466B6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footnotePr>
    <w:footnote w:id="0"/>
    <w:footnote w:id="1"/>
  </w:footnotePr>
  <w:endnotePr>
    <w:endnote w:id="0"/>
    <w:endnote w:id="1"/>
  </w:endnotePr>
  <w:compat>
    <w:useFELayout/>
    <w:splitPgBreakAndParaMark/>
    <w:compatSetting w:name="compatibilityMode" w:uri="http://schemas.microsoft.com/office/word" w:val="12"/>
  </w:compat>
  <w:docVars>
    <w:docVar w:name="commondata" w:val="eyJoZGlkIjoiYmY2ODQ4YTA4YmQyMzgxZDgzMzE2YjIwNWNhN2JiMTkifQ=="/>
  </w:docVars>
  <w:rsids>
    <w:rsidRoot w:val="00000000"/>
    <w:rsid w:val="0F61434A"/>
    <w:rsid w:val="41FF6B9B"/>
    <w:rsid w:val="45763769"/>
    <w:rsid w:val="53C80D16"/>
    <w:rsid w:val="56955A19"/>
    <w:rsid w:val="58AB2A4E"/>
    <w:rsid w:val="59256C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kinsoku/>
      <w:wordWrap/>
      <w:autoSpaceDE/>
      <w:autoSpaceDN/>
      <w:snapToGrid/>
      <w:spacing w:before="60" w:after="60" w:line="240" w:lineRule="auto"/>
      <w:jc w:val="left"/>
      <w:outlineLvl w:val="9"/>
    </w:pPr>
    <w:rPr>
      <w:rFonts w:asciiTheme="minorHAnsi" w:hAnsiTheme="minorHAnsi" w:eastAsiaTheme="minorEastAsia" w:cstheme="minorBidi"/>
      <w:color w:val="333333"/>
      <w:sz w:val="22"/>
      <w:szCs w:val="21"/>
    </w:rPr>
  </w:style>
  <w:style w:type="paragraph" w:styleId="2">
    <w:name w:val="heading 1"/>
    <w:basedOn w:val="1"/>
    <w:next w:val="1"/>
    <w:autoRedefine/>
    <w:qFormat/>
    <w:uiPriority w:val="9"/>
    <w:pPr>
      <w:keepNext/>
      <w:keepLines/>
      <w:spacing w:before="0" w:after="0" w:line="408" w:lineRule="auto"/>
      <w:outlineLvl w:val="0"/>
    </w:pPr>
    <w:rPr>
      <w:b/>
      <w:bCs/>
      <w:color w:val="1A1A1A"/>
      <w:sz w:val="36"/>
      <w:szCs w:val="36"/>
    </w:rPr>
  </w:style>
  <w:style w:type="paragraph" w:styleId="3">
    <w:name w:val="heading 2"/>
    <w:basedOn w:val="1"/>
    <w:next w:val="1"/>
    <w:autoRedefine/>
    <w:qFormat/>
    <w:uiPriority w:val="9"/>
    <w:pPr>
      <w:keepNext/>
      <w:keepLines/>
      <w:spacing w:before="0" w:after="0" w:line="408" w:lineRule="auto"/>
      <w:outlineLvl w:val="1"/>
    </w:pPr>
    <w:rPr>
      <w:b/>
      <w:bCs/>
      <w:color w:val="1A1A1A"/>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
      <a:majorFont>
        <a:latin typeface=""/>
        <a:ea typeface=""/>
        <a:cs typeface=""/>
      </a:majorFont>
      <a:minorFont>
        <a:latin typeface=""/>
        <a:ea typeface=""/>
        <a:cs typeface=""/>
      </a:minorFont>
    </a:fontScheme>
    <a:fmtScheme name="">
      <a:fillStyleLst/>
      <a:lnStyleLst>
        <a:ln/>
        <a:ln/>
        <a:ln/>
      </a:lnStyleLst>
      <a:effectStyleLst/>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2025-09-24T17:26:00Z</dcterms:created>
  <dc:creator>wqq87</dc:creator>
  <cp:lastModifiedBy>吴倩倩</cp:lastModifiedBy>
  <dcterms:modified xsi:type="dcterms:W3CDTF">2025-10-16T06:12:27Z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DF42B75A2E0D401BAD3378387B7E5AD7_12</vt:lpwstr>
  </property>
</Properties>
</file>